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A6FE" w14:textId="77777777" w:rsidR="00F06269" w:rsidRPr="000F4043" w:rsidRDefault="00F06269" w:rsidP="00F06269">
      <w:pPr>
        <w:pStyle w:val="Titre"/>
        <w:keepNext/>
        <w:spacing w:after="120"/>
        <w:jc w:val="center"/>
        <w:rPr>
          <w:rFonts w:ascii="Geist" w:hAnsi="Geist" w:cs="Arial"/>
          <w:bCs/>
          <w:sz w:val="32"/>
          <w:szCs w:val="24"/>
        </w:rPr>
      </w:pPr>
      <w:r w:rsidRPr="000F4043">
        <w:rPr>
          <w:rFonts w:ascii="Geist" w:hAnsi="Geist"/>
          <w:color w:val="000000"/>
          <w:sz w:val="32"/>
        </w:rPr>
        <w:t>Cahier des charges technique LBAi W GATE Double</w:t>
      </w:r>
    </w:p>
    <w:p w14:paraId="0D901965" w14:textId="77777777" w:rsidR="00580FD3" w:rsidRPr="000F4043" w:rsidRDefault="00000000">
      <w:pPr>
        <w:spacing w:after="160"/>
        <w:jc w:val="center"/>
        <w:rPr>
          <w:rFonts w:ascii="Geist" w:hAnsi="Geist"/>
        </w:rPr>
      </w:pPr>
      <w:r w:rsidRPr="000F4043">
        <w:rPr>
          <w:rFonts w:ascii="Geist" w:hAnsi="Geist"/>
          <w:noProof/>
        </w:rPr>
        <w:drawing>
          <wp:inline distT="0" distB="0" distL="0" distR="0" wp14:anchorId="1E8C56BC" wp14:editId="6AA5065D">
            <wp:extent cx="3086101" cy="2314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86899" cy="231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AF73A" w14:textId="222C7C47" w:rsidR="00A45C73" w:rsidRPr="000F4043" w:rsidRDefault="00A45C73" w:rsidP="00A45C73">
      <w:pPr>
        <w:keepNext/>
        <w:spacing w:before="200" w:after="120"/>
        <w:rPr>
          <w:rFonts w:ascii="Geist" w:hAnsi="Geist" w:cs="Arial"/>
          <w:b/>
          <w:bCs/>
          <w:sz w:val="22"/>
          <w:szCs w:val="22"/>
          <w:u w:val="single"/>
        </w:rPr>
      </w:pPr>
      <w:r w:rsidRPr="000F4043">
        <w:rPr>
          <w:rFonts w:ascii="Geist" w:hAnsi="Geist"/>
          <w:b/>
          <w:bCs/>
          <w:color w:val="000000"/>
          <w:sz w:val="22"/>
          <w:u w:val="single"/>
        </w:rPr>
        <w:t>DCE</w:t>
      </w:r>
      <w:r w:rsidR="000F4043">
        <w:rPr>
          <w:rFonts w:ascii="Geist" w:hAnsi="Geist"/>
          <w:b/>
          <w:bCs/>
          <w:color w:val="000000"/>
          <w:sz w:val="22"/>
          <w:u w:val="single"/>
        </w:rPr>
        <w:t> :</w:t>
      </w:r>
    </w:p>
    <w:p w14:paraId="475B6D79" w14:textId="77777777" w:rsidR="00A45C73" w:rsidRPr="000F4043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La conception du portail pliant à ouverture ultra-rapide en fera un appareil fiable et robuste conçu pour un fonctionnement intensif et continu de 5 m de passage libre.</w:t>
      </w:r>
    </w:p>
    <w:p w14:paraId="1983891C" w14:textId="77777777" w:rsidR="00A45C73" w:rsidRPr="000F4043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Conforme à la norme 13241-1 et validé par le CSTB, il s’installe sans ajout de cellule de sécurité ou de barre-palpeuse et répondra aux spécifications suivantes :</w:t>
      </w:r>
    </w:p>
    <w:p w14:paraId="662FBBF4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Caractéristiques techniques</w:t>
      </w:r>
    </w:p>
    <w:p w14:paraId="504A761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Hauteur sur mesure de 2 m</w:t>
      </w:r>
    </w:p>
    <w:p w14:paraId="53A1A3F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Double : 2 x 2 vantaux pour un passage total de 5 m</w:t>
      </w:r>
    </w:p>
    <w:p w14:paraId="7B1B9FAE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Poteaux pivot en acier épaisseur 6 mm – Section 350 x 250 mm</w:t>
      </w:r>
    </w:p>
    <w:p w14:paraId="6DC9C075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Traitement anticorrosion par cataphorèse</w:t>
      </w:r>
    </w:p>
    <w:p w14:paraId="6FE93838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Peinture poudre cuite à 250° à la teinte RAL au choix Blanc 9010, Gris 7016, Vert 6005, Rouge 3020 ou Noir 9005</w:t>
      </w:r>
    </w:p>
    <w:p w14:paraId="611EB5F3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Vantaux en aluminium avec barreaudage de section 30 x 30 mm à écartement variable adapté à la longueur du portail sans excéder 110 mm</w:t>
      </w:r>
    </w:p>
    <w:p w14:paraId="723723FC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Motorisation invisible et intégrée dans le poteau-pivot accessible par une porte dédiée au-dessous de la porte de la logique de commande</w:t>
      </w:r>
    </w:p>
    <w:p w14:paraId="486C6C4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Logique de commande accessible par deux portes intégrées dans les poteaux-pivot pour accès en position portail ouvert ou fermé.</w:t>
      </w:r>
    </w:p>
    <w:p w14:paraId="02832289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(les moteurs apparents et/ou les coffrets logiques déportés ne seront pas admis)</w:t>
      </w:r>
    </w:p>
    <w:p w14:paraId="7BD09877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Équipements</w:t>
      </w:r>
    </w:p>
    <w:p w14:paraId="0C75FE01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Motoréducteur réversible</w:t>
      </w:r>
    </w:p>
    <w:p w14:paraId="259E1EA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Moteur frein permettant le verrouillage du portail en cas de coupure de courant</w:t>
      </w:r>
    </w:p>
    <w:p w14:paraId="3E0A4ED9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Débrayage manuel à partir du compartiment moteur</w:t>
      </w:r>
    </w:p>
    <w:p w14:paraId="2C7FA96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Vitesse d’ouverture de 1,2 m/s</w:t>
      </w:r>
    </w:p>
    <w:p w14:paraId="3893CF8E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Limiteur d’effort en cas d’impact</w:t>
      </w:r>
    </w:p>
    <w:p w14:paraId="04DF248C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lastRenderedPageBreak/>
        <w:t>Capteurs inductifs sans contact pour la gestion des positions</w:t>
      </w:r>
    </w:p>
    <w:p w14:paraId="7F89D1C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Maintien en position ouverte ou fermée</w:t>
      </w:r>
    </w:p>
    <w:p w14:paraId="65415445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Ouverture à 90°</w:t>
      </w:r>
    </w:p>
    <w:p w14:paraId="164AD5E0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Portes équipées de serrures à compression anti-vandalisme</w:t>
      </w:r>
    </w:p>
    <w:p w14:paraId="4FFBC10D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Éclairage de zone à LED</w:t>
      </w:r>
    </w:p>
    <w:p w14:paraId="0829DEED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Feu orange clignotant avec pré-signalisation</w:t>
      </w:r>
    </w:p>
    <w:p w14:paraId="4959DD59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Ventouse magnétique de 500 kg</w:t>
      </w:r>
    </w:p>
    <w:p w14:paraId="178D8277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2 gabarits de scellement avec tiges d’ancrage</w:t>
      </w:r>
    </w:p>
    <w:p w14:paraId="2AD2CE9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Anneaux de levage pour mise en place simplifiée et en sécurité pour les installateurs</w:t>
      </w:r>
    </w:p>
    <w:p w14:paraId="744D76DC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Carte de commande intégrée ONE-C</w:t>
      </w:r>
    </w:p>
    <w:p w14:paraId="5AD5D29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Pilotage filaire ou par câble réseau ; plusieurs protocoles de communication (Modbus TCP/IP, RS485)</w:t>
      </w:r>
    </w:p>
    <w:p w14:paraId="57FD4160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Interface de communication centralisée (écran à LED)</w:t>
      </w:r>
    </w:p>
    <w:p w14:paraId="29C1DB2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Paramétrage et pilotage possible à distance via serveur web</w:t>
      </w:r>
    </w:p>
    <w:p w14:paraId="0D00B0B3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Gestion du moteur par variation de fréquence permettant de gérer :</w:t>
      </w:r>
    </w:p>
    <w:p w14:paraId="6E87747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Les rampes d'accélération et de freinage</w:t>
      </w:r>
    </w:p>
    <w:p w14:paraId="5D8C6807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Les vitesses à l'ouverture et à la fermeture</w:t>
      </w:r>
    </w:p>
    <w:p w14:paraId="6E7FAA2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Mise à jour par carte SD, 1 seul programme</w:t>
      </w:r>
    </w:p>
    <w:p w14:paraId="32B0BE8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Bornier enfichable</w:t>
      </w:r>
    </w:p>
    <w:p w14:paraId="68EF65AA" w14:textId="77777777" w:rsidR="000F4043" w:rsidRPr="007B60DF" w:rsidRDefault="000F4043" w:rsidP="000F404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7B60DF">
        <w:rPr>
          <w:rFonts w:ascii="Geist" w:hAnsi="Geist"/>
          <w:color w:val="000000"/>
          <w:sz w:val="22"/>
        </w:rPr>
        <w:t>Fonctionnalités LBAi</w:t>
      </w:r>
    </w:p>
    <w:p w14:paraId="431C1E26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Détection intégrée sans boucle au sol ni cellule infrarouge additionnelle</w:t>
      </w:r>
    </w:p>
    <w:p w14:paraId="28BD6728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Aucun génie civil lié à la détection et réduction du câblage nécessaire</w:t>
      </w:r>
    </w:p>
    <w:p w14:paraId="6412AFBB" w14:textId="39A90B4F" w:rsidR="000F4043" w:rsidRPr="000F4043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Reconnaissance de 7 catégories d’usagers :</w:t>
      </w:r>
      <w:r>
        <w:rPr>
          <w:rFonts w:ascii="Geist" w:hAnsi="Geist"/>
          <w:color w:val="000000"/>
          <w:sz w:val="21"/>
        </w:rPr>
        <w:t xml:space="preserve"> </w:t>
      </w:r>
      <w:r w:rsidRPr="000F4043">
        <w:rPr>
          <w:rFonts w:ascii="Geist" w:hAnsi="Geist"/>
          <w:color w:val="000000"/>
          <w:sz w:val="21"/>
        </w:rPr>
        <w:t>Piétons, vélos, motos, voitures, utilitaires, camions et bus</w:t>
      </w:r>
    </w:p>
    <w:p w14:paraId="3BEC7F70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Jusqu’à 5 zones de détection configurables</w:t>
      </w:r>
    </w:p>
    <w:p w14:paraId="7AE1B1BE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Portée jusqu’à 10 m</w:t>
      </w:r>
    </w:p>
    <w:p w14:paraId="3F6CBFDB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Couverture de 170° en latéral et 70° en vertical</w:t>
      </w:r>
    </w:p>
    <w:p w14:paraId="4A091BE2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Réglages précis permettant de limiter les détections indésirables</w:t>
      </w:r>
    </w:p>
    <w:p w14:paraId="5A7F9972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Droits de passage configurables par catégorie</w:t>
      </w:r>
    </w:p>
    <w:p w14:paraId="6C2E9D47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Gestion des autorisations et des refus</w:t>
      </w:r>
    </w:p>
    <w:p w14:paraId="53549817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Règles horaires personnalisables</w:t>
      </w:r>
    </w:p>
    <w:p w14:paraId="6F5B8863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Paramétrage par connexion Wi-Fi locale sécurisée, sans dépendance au réseau du site</w:t>
      </w:r>
    </w:p>
    <w:p w14:paraId="258C3C98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Fonctionnement continu de jour comme de nuit et fiable face aux intempéries</w:t>
      </w:r>
    </w:p>
    <w:p w14:paraId="0FFD6C29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Journal d’activité disponible pour faciliter le diagnostic</w:t>
      </w:r>
    </w:p>
    <w:p w14:paraId="082B2BAD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Mise à jour simple par carte SD</w:t>
      </w:r>
    </w:p>
    <w:p w14:paraId="7B3749F6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Évolutivité prévue : comptage des véhicules et reconnaissance future de véhicules spécifiques</w:t>
      </w:r>
    </w:p>
    <w:p w14:paraId="59986B90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Options à intégrer au DCE si retenues</w:t>
      </w:r>
    </w:p>
    <w:p w14:paraId="47635BB0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Ouverture à 115°</w:t>
      </w:r>
    </w:p>
    <w:p w14:paraId="49C149C0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Autre couleur à définir sur nuancier RAL</w:t>
      </w:r>
    </w:p>
    <w:p w14:paraId="17372A49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Tôle pleine ajourée en aluminium avec motif type LBA Design</w:t>
      </w:r>
    </w:p>
    <w:p w14:paraId="3A5DFCB3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lastRenderedPageBreak/>
        <w:t>Feu Led Ø 60 mm monté sur le poteau de réception</w:t>
      </w:r>
    </w:p>
    <w:p w14:paraId="42B4321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Bandeau Led rouge / vert asservi</w:t>
      </w:r>
    </w:p>
    <w:p w14:paraId="15F3B9F6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Ventouse magnétique de 500 kg supplémentaire</w:t>
      </w:r>
    </w:p>
    <w:p w14:paraId="4231DF05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Conformité</w:t>
      </w:r>
    </w:p>
    <w:p w14:paraId="0E4595B1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Conforme à la norme 13241-1</w:t>
      </w:r>
    </w:p>
    <w:sectPr w:rsidR="00A45C73" w:rsidRPr="000F4043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EE40" w14:textId="77777777" w:rsidR="00017442" w:rsidRDefault="00017442" w:rsidP="00A46164">
      <w:r>
        <w:separator/>
      </w:r>
    </w:p>
  </w:endnote>
  <w:endnote w:type="continuationSeparator" w:id="0">
    <w:p w14:paraId="19DACB7B" w14:textId="77777777" w:rsidR="00017442" w:rsidRDefault="00017442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1C0EA1E4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7206DFC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Siège social La Barrière Automatique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228388F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40981793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865566E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451 Chemin de Champivost - BP 85 – 69759 LIMONEST Cedex</w:t>
          </w:r>
        </w:p>
        <w:p w14:paraId="62B1B96A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Tél 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5722F04C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26976D0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www.grouplba.com</w:t>
            </w:r>
          </w:hyperlink>
        </w:p>
        <w:p w14:paraId="52FFF648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4E1F8199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25CD4011" w14:textId="77777777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>S.A.S au Capital de 150 000 Euros - SIREN 332 525 096 – Code APE 2790 Z - TVA FR 43 332 525 096 – RCS Lyon B 332 525 096</w:t>
          </w:r>
        </w:p>
      </w:tc>
    </w:tr>
  </w:tbl>
  <w:p w14:paraId="29BBB7FB" w14:textId="77777777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6CF0" w14:textId="77777777" w:rsidR="00017442" w:rsidRDefault="00017442" w:rsidP="00A46164">
      <w:r>
        <w:separator/>
      </w:r>
    </w:p>
  </w:footnote>
  <w:footnote w:type="continuationSeparator" w:id="0">
    <w:p w14:paraId="3E0C9B5B" w14:textId="77777777" w:rsidR="00017442" w:rsidRDefault="00017442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4062" w14:textId="5A9850F5" w:rsidR="00A46164" w:rsidRDefault="000F4043">
    <w:pPr>
      <w:pStyle w:val="En-tte"/>
    </w:pPr>
    <w:r>
      <w:rPr>
        <w:noProof/>
      </w:rPr>
      <w:drawing>
        <wp:inline distT="0" distB="0" distL="0" distR="0" wp14:anchorId="2066BF6A" wp14:editId="20CA1B61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8E338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442"/>
    <w:rsid w:val="00017E9B"/>
    <w:rsid w:val="00027799"/>
    <w:rsid w:val="000522FD"/>
    <w:rsid w:val="000B0675"/>
    <w:rsid w:val="000C66D6"/>
    <w:rsid w:val="000D5336"/>
    <w:rsid w:val="000F4043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3E77FB"/>
    <w:rsid w:val="004C157F"/>
    <w:rsid w:val="004E5A17"/>
    <w:rsid w:val="005014C1"/>
    <w:rsid w:val="00520FF6"/>
    <w:rsid w:val="005430FE"/>
    <w:rsid w:val="00580FD3"/>
    <w:rsid w:val="00624BA2"/>
    <w:rsid w:val="006814C3"/>
    <w:rsid w:val="00704633"/>
    <w:rsid w:val="0072791D"/>
    <w:rsid w:val="007545A5"/>
    <w:rsid w:val="00783A66"/>
    <w:rsid w:val="007B0747"/>
    <w:rsid w:val="007C7CEF"/>
    <w:rsid w:val="007D47EB"/>
    <w:rsid w:val="00800A92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1BF1B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2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2979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W GATE Double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